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w w:val="9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spacing w:afterLines="0" w:line="560" w:lineRule="exact"/>
              <w:contextualSpacing/>
              <w:jc w:val="center"/>
              <w:rPr>
                <w:rFonts w:hint="default" w:ascii="Times New Roman" w:hAnsi="Times New Roman" w:eastAsia="仿宋"/>
                <w:b/>
                <w:color w:val="FF0000"/>
                <w:spacing w:val="50"/>
                <w:w w:val="90"/>
                <w:sz w:val="44"/>
                <w:lang w:eastAsia="zh-CN"/>
              </w:rPr>
            </w:pPr>
            <w:bookmarkStart w:id="0" w:name="docnum"/>
            <w:r>
              <w:rPr>
                <w:rFonts w:hint="default" w:ascii="Times New Roman" w:hAnsi="Times New Roman" w:eastAsia="仿宋"/>
                <w:sz w:val="32"/>
                <w:lang w:eastAsia="zh-CN"/>
              </w:rPr>
              <w:t>厦大科〔2022〕152号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snapToGrid w:val="0"/>
              <w:spacing w:afterLines="0" w:line="560" w:lineRule="exact"/>
              <w:jc w:val="center"/>
              <w:rPr>
                <w:rFonts w:hint="default" w:ascii="Times New Roman" w:hAnsi="Times New Roman" w:eastAsia="仿宋"/>
                <w:szCs w:val="21"/>
              </w:rPr>
            </w:pPr>
            <w:bookmarkStart w:id="4" w:name="_GoBack"/>
            <w:r>
              <w:rPr>
                <w:rFonts w:hint="default" w:ascii="Times New Roman" w:hAnsi="Times New Roman" w:eastAsia="仿宋"/>
                <w:sz w:val="44"/>
                <w:szCs w:val="44"/>
              </w:rPr>
              <mc:AlternateContent>
                <mc:Choice Requires="wps">
                  <w:drawing>
                    <wp:anchor distT="0" distB="0" distL="114300" distR="114300" simplePos="0" relativeHeight="251658240"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58240;mso-width-relative:page;mso-height-relative:page;" filled="f" stroked="t" coordsize="21600,21600" o:gfxdata="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cOWMhNYAAAAJAQAADwAAAAAAAAABACAAAAA4&#10;AAAAZHJzL2Rvd25yZXYueG1sUEsBAhQAFAAAAAgAh07iQAn1Kta9AQAAZgMAAA4AAAAAAAAAAQAg&#10;AAAAOwEAAGRycy9lMm9Eb2MueG1sUEsFBgAAAAAGAAYAWQEAAGoFAAAAAA==&#10;">
                      <v:fill on="f" focussize="0,0"/>
                      <v:stroke weight="1.5pt" color="#FF0000" joinstyle="round"/>
                      <v:imagedata o:title=""/>
                      <o:lock v:ext="edit" aspectratio="f"/>
                    </v:shape>
                  </w:pict>
                </mc:Fallback>
              </mc:AlternateContent>
            </w:r>
            <w:bookmarkEnd w:id="4"/>
          </w:p>
        </w:tc>
      </w:tr>
    </w:tbl>
    <w:p>
      <w:pPr>
        <w:widowControl/>
        <w:adjustRightInd w:val="0"/>
        <w:spacing w:afterLines="0" w:line="560" w:lineRule="exact"/>
        <w:contextualSpacing/>
        <w:rPr>
          <w:rFonts w:hint="default" w:ascii="Times New Roman" w:hAnsi="Times New Roman" w:eastAsia="仿宋"/>
          <w:sz w:val="32"/>
          <w:szCs w:val="30"/>
        </w:rPr>
      </w:pPr>
    </w:p>
    <w:p>
      <w:pPr>
        <w:pStyle w:val="24"/>
        <w:spacing w:after="0" w:afterLines="0" w:line="560" w:lineRule="exact"/>
        <w:rPr>
          <w:rFonts w:hint="default" w:cs="Times New Roman"/>
        </w:rPr>
      </w:pPr>
      <w:bookmarkStart w:id="1" w:name="redhead"/>
      <w:r>
        <w:rPr>
          <w:rFonts w:hint="default" w:cs="Times New Roman"/>
        </w:rPr>
        <w:t>关于印发《厦门大学理工医科纵向科研</w:t>
      </w:r>
    </w:p>
    <w:p>
      <w:pPr>
        <w:pStyle w:val="24"/>
        <w:spacing w:after="0" w:afterLines="0" w:line="560" w:lineRule="exact"/>
        <w:rPr>
          <w:rFonts w:cs="Times New Roman"/>
        </w:rPr>
      </w:pPr>
      <w:r>
        <w:rPr>
          <w:rFonts w:hint="default" w:cs="Times New Roman"/>
        </w:rPr>
        <w:t>项目资金间接费用管理办法》的通知</w:t>
      </w:r>
    </w:p>
    <w:p>
      <w:pPr>
        <w:pStyle w:val="24"/>
        <w:spacing w:after="0" w:afterLines="0" w:line="560" w:lineRule="exact"/>
        <w:jc w:val="left"/>
        <w:rPr>
          <w:rFonts w:hint="default" w:ascii="Times New Roman" w:hAnsi="Times New Roman" w:eastAsia="仿宋" w:cs="Times New Roman"/>
          <w:bCs/>
          <w:sz w:val="32"/>
          <w:szCs w:val="32"/>
        </w:rPr>
      </w:pPr>
    </w:p>
    <w:p>
      <w:pPr>
        <w:pStyle w:val="24"/>
        <w:spacing w:after="0" w:afterLines="0" w:line="560" w:lineRule="exact"/>
        <w:jc w:val="left"/>
        <w:rPr>
          <w:rFonts w:ascii="Times New Roman" w:hAnsi="Times New Roman" w:eastAsia="仿宋" w:cs="Times New Roman"/>
          <w:bCs/>
          <w:sz w:val="32"/>
          <w:szCs w:val="32"/>
        </w:rPr>
      </w:pPr>
      <w:r>
        <w:rPr>
          <w:rFonts w:hint="default" w:ascii="Times New Roman" w:hAnsi="Times New Roman" w:eastAsia="仿宋" w:cs="Times New Roman"/>
          <w:bCs/>
          <w:sz w:val="32"/>
          <w:szCs w:val="32"/>
        </w:rPr>
        <w:t>全校各单位：</w:t>
      </w:r>
    </w:p>
    <w:p>
      <w:pPr>
        <w:pStyle w:val="24"/>
        <w:spacing w:after="0" w:afterLines="0" w:line="560" w:lineRule="exact"/>
        <w:ind w:left="0" w:leftChars="0" w:firstLine="627" w:firstLineChars="196"/>
        <w:jc w:val="left"/>
        <w:rPr>
          <w:rFonts w:ascii="Times New Roman" w:hAnsi="Times New Roman" w:eastAsia="仿宋" w:cs="Times New Roman"/>
          <w:bCs/>
          <w:sz w:val="32"/>
          <w:szCs w:val="32"/>
        </w:rPr>
      </w:pPr>
      <w:r>
        <w:rPr>
          <w:rFonts w:hint="default" w:ascii="Times New Roman" w:hAnsi="Times New Roman" w:eastAsia="仿宋" w:cs="Times New Roman"/>
          <w:bCs/>
          <w:sz w:val="32"/>
          <w:szCs w:val="32"/>
        </w:rPr>
        <w:t>《厦门大学理工医科纵向科研项目资金间接费用管理办法》经厦门大学2</w:t>
      </w:r>
      <w:r>
        <w:rPr>
          <w:rFonts w:ascii="Times New Roman" w:hAnsi="Times New Roman" w:eastAsia="仿宋" w:cs="Times New Roman"/>
          <w:bCs/>
          <w:sz w:val="32"/>
          <w:szCs w:val="32"/>
        </w:rPr>
        <w:t>022</w:t>
      </w:r>
      <w:r>
        <w:rPr>
          <w:rFonts w:hint="default" w:ascii="Times New Roman" w:hAnsi="Times New Roman" w:eastAsia="仿宋" w:cs="Times New Roman"/>
          <w:bCs/>
          <w:sz w:val="32"/>
          <w:szCs w:val="32"/>
        </w:rPr>
        <w:t>年第1</w:t>
      </w:r>
      <w:r>
        <w:rPr>
          <w:rFonts w:ascii="Times New Roman" w:hAnsi="Times New Roman" w:eastAsia="仿宋" w:cs="Times New Roman"/>
          <w:bCs/>
          <w:sz w:val="32"/>
          <w:szCs w:val="32"/>
        </w:rPr>
        <w:t>9</w:t>
      </w:r>
      <w:r>
        <w:rPr>
          <w:rFonts w:hint="default" w:ascii="Times New Roman" w:hAnsi="Times New Roman" w:eastAsia="仿宋" w:cs="Times New Roman"/>
          <w:bCs/>
          <w:sz w:val="32"/>
          <w:szCs w:val="32"/>
        </w:rPr>
        <w:t>次校长办公会议、中共厦门大学第十一届委员会常务委员会第</w:t>
      </w:r>
      <w:r>
        <w:rPr>
          <w:rFonts w:ascii="Times New Roman" w:hAnsi="Times New Roman" w:eastAsia="仿宋" w:cs="Times New Roman"/>
          <w:bCs/>
          <w:sz w:val="32"/>
          <w:szCs w:val="32"/>
        </w:rPr>
        <w:t>172</w:t>
      </w:r>
      <w:r>
        <w:rPr>
          <w:rFonts w:hint="default" w:ascii="Times New Roman" w:hAnsi="Times New Roman" w:eastAsia="仿宋" w:cs="Times New Roman"/>
          <w:bCs/>
          <w:sz w:val="32"/>
          <w:szCs w:val="32"/>
        </w:rPr>
        <w:t>次会议审议通过，现予以印发，请遵照执行。</w:t>
      </w:r>
    </w:p>
    <w:p>
      <w:pPr>
        <w:pStyle w:val="24"/>
        <w:spacing w:after="0" w:afterLines="0" w:line="560" w:lineRule="exact"/>
        <w:ind w:firstLine="960" w:firstLineChars="3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特此通知。</w:t>
      </w:r>
    </w:p>
    <w:p>
      <w:pPr>
        <w:pStyle w:val="24"/>
        <w:spacing w:after="0" w:afterLines="0" w:line="560" w:lineRule="exact"/>
        <w:ind w:firstLine="960" w:firstLineChars="300"/>
        <w:jc w:val="left"/>
        <w:rPr>
          <w:rFonts w:hint="default" w:ascii="Times New Roman" w:hAnsi="Times New Roman" w:eastAsia="仿宋" w:cs="Times New Roman"/>
          <w:bCs/>
          <w:sz w:val="32"/>
          <w:szCs w:val="32"/>
        </w:rPr>
      </w:pPr>
    </w:p>
    <w:p>
      <w:pPr>
        <w:pStyle w:val="24"/>
        <w:spacing w:after="0" w:afterLines="0" w:line="560" w:lineRule="exact"/>
        <w:ind w:firstLine="960" w:firstLineChars="300"/>
        <w:jc w:val="left"/>
        <w:rPr>
          <w:rFonts w:ascii="Times New Roman" w:hAnsi="Times New Roman" w:eastAsia="仿宋" w:cs="Times New Roman"/>
          <w:bCs/>
          <w:sz w:val="32"/>
          <w:szCs w:val="32"/>
        </w:rPr>
      </w:pPr>
    </w:p>
    <w:p>
      <w:pPr>
        <w:pStyle w:val="24"/>
        <w:wordWrap w:val="0"/>
        <w:spacing w:after="0" w:afterLines="0" w:line="560" w:lineRule="exact"/>
        <w:ind w:firstLine="0" w:firstLineChars="0"/>
        <w:jc w:val="both"/>
        <w:rPr>
          <w:rFonts w:ascii="Times New Roman" w:hAnsi="Times New Roman" w:eastAsia="仿宋" w:cs="Times New Roman"/>
          <w:bCs/>
          <w:sz w:val="32"/>
          <w:szCs w:val="32"/>
        </w:rPr>
      </w:pPr>
      <w:r>
        <w:rPr>
          <w:rFonts w:hint="default" w:ascii="Times New Roman" w:hAnsi="Times New Roman" w:eastAsia="仿宋" w:cs="Times New Roman"/>
          <w:bCs/>
          <w:sz w:val="32"/>
          <w:szCs w:val="32"/>
        </w:rPr>
        <w:t xml:space="preserve"> </w:t>
      </w:r>
      <w:r>
        <w:rPr>
          <w:rFonts w:ascii="Times New Roman" w:hAnsi="Times New Roman" w:eastAsia="仿宋" w:cs="Times New Roman"/>
          <w:bCs/>
          <w:sz w:val="32"/>
          <w:szCs w:val="32"/>
        </w:rPr>
        <w:t xml:space="preserve">      </w:t>
      </w:r>
      <w:r>
        <w:rPr>
          <w:rFonts w:eastAsia="仿宋" w:cs="Times New Roman"/>
          <w:bCs/>
          <w:sz w:val="32"/>
          <w:szCs w:val="32"/>
        </w:rPr>
        <w:t xml:space="preserve">                              </w:t>
      </w:r>
      <w:r>
        <w:rPr>
          <w:rFonts w:hint="default" w:ascii="Times New Roman" w:hAnsi="Times New Roman" w:eastAsia="仿宋" w:cs="Times New Roman"/>
          <w:bCs/>
          <w:sz w:val="32"/>
          <w:szCs w:val="32"/>
        </w:rPr>
        <w:t xml:space="preserve">厦门大学 </w:t>
      </w:r>
      <w:r>
        <w:rPr>
          <w:rFonts w:ascii="Times New Roman" w:hAnsi="Times New Roman" w:eastAsia="仿宋" w:cs="Times New Roman"/>
          <w:bCs/>
          <w:sz w:val="32"/>
          <w:szCs w:val="32"/>
        </w:rPr>
        <w:t xml:space="preserve">  </w:t>
      </w:r>
    </w:p>
    <w:p>
      <w:pPr>
        <w:pStyle w:val="24"/>
        <w:spacing w:after="0" w:afterLines="0" w:line="560" w:lineRule="exact"/>
        <w:jc w:val="both"/>
        <w:rPr>
          <w:rFonts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2</w:t>
      </w:r>
      <w:r>
        <w:rPr>
          <w:rFonts w:ascii="Times New Roman" w:hAnsi="Times New Roman" w:eastAsia="仿宋" w:cs="Times New Roman"/>
          <w:bCs/>
          <w:sz w:val="32"/>
          <w:szCs w:val="32"/>
        </w:rPr>
        <w:t>022</w:t>
      </w:r>
      <w:r>
        <w:rPr>
          <w:rFonts w:hint="default" w:ascii="Times New Roman" w:hAnsi="Times New Roman" w:eastAsia="仿宋" w:cs="Times New Roman"/>
          <w:bCs/>
          <w:sz w:val="32"/>
          <w:szCs w:val="32"/>
        </w:rPr>
        <w:t>年</w:t>
      </w:r>
      <w:r>
        <w:rPr>
          <w:rFonts w:hint="default" w:ascii="Times New Roman" w:hAnsi="Times New Roman" w:eastAsia="仿宋" w:cs="Times New Roman"/>
          <w:bCs/>
          <w:sz w:val="32"/>
          <w:szCs w:val="32"/>
          <w:lang w:val="en-US" w:eastAsia="zh-CN"/>
        </w:rPr>
        <w:t>8</w:t>
      </w:r>
      <w:r>
        <w:rPr>
          <w:rFonts w:hint="default" w:ascii="Times New Roman" w:hAnsi="Times New Roman" w:eastAsia="仿宋" w:cs="Times New Roman"/>
          <w:bCs/>
          <w:sz w:val="32"/>
          <w:szCs w:val="32"/>
        </w:rPr>
        <w:t>月</w:t>
      </w:r>
      <w:r>
        <w:rPr>
          <w:rFonts w:hint="default" w:ascii="Times New Roman" w:hAnsi="Times New Roman" w:eastAsia="仿宋" w:cs="Times New Roman"/>
          <w:bCs/>
          <w:sz w:val="32"/>
          <w:szCs w:val="32"/>
          <w:lang w:eastAsia="zh-CN"/>
        </w:rPr>
        <w:t>10</w:t>
      </w:r>
      <w:r>
        <w:rPr>
          <w:rFonts w:hint="default" w:ascii="Times New Roman" w:hAnsi="Times New Roman" w:eastAsia="仿宋" w:cs="Times New Roman"/>
          <w:bCs/>
          <w:sz w:val="32"/>
          <w:szCs w:val="32"/>
        </w:rPr>
        <w:t>日</w:t>
      </w:r>
    </w:p>
    <w:p>
      <w:pPr>
        <w:pStyle w:val="24"/>
        <w:spacing w:beforeLines="0" w:after="0" w:afterLines="0" w:line="560" w:lineRule="exact"/>
        <w:rPr>
          <w:rFonts w:hint="default" w:cs="Times New Roman"/>
        </w:rPr>
      </w:pPr>
      <w:r>
        <w:rPr>
          <w:rFonts w:hint="default" w:cs="Times New Roman"/>
        </w:rPr>
        <w:t>厦门大学理工医科纵向科研</w:t>
      </w:r>
    </w:p>
    <w:p>
      <w:pPr>
        <w:pStyle w:val="24"/>
        <w:spacing w:beforeLines="0" w:after="0" w:afterLines="0" w:line="560" w:lineRule="exact"/>
        <w:rPr>
          <w:rFonts w:hint="default" w:cs="Times New Roman"/>
        </w:rPr>
      </w:pPr>
      <w:r>
        <w:rPr>
          <w:rFonts w:hint="default" w:cs="Times New Roman"/>
        </w:rPr>
        <w:t>项目资金间接费用管理办法</w:t>
      </w:r>
    </w:p>
    <w:p>
      <w:pPr>
        <w:pStyle w:val="24"/>
        <w:spacing w:beforeLines="0" w:after="0" w:afterLines="0" w:line="560" w:lineRule="exact"/>
        <w:rPr>
          <w:rFonts w:cs="Times New Roman"/>
        </w:rPr>
      </w:pPr>
    </w:p>
    <w:p>
      <w:pPr>
        <w:pStyle w:val="2"/>
        <w:spacing w:before="0" w:beforeLines="0" w:afterLines="0" w:line="560" w:lineRule="exact"/>
        <w:rPr>
          <w:rFonts w:cs="Times New Roman"/>
          <w:b w:val="0"/>
          <w:bCs w:val="0"/>
        </w:rPr>
      </w:pPr>
      <w:r>
        <w:rPr>
          <w:rFonts w:hint="default" w:cs="Times New Roman"/>
          <w:b w:val="0"/>
          <w:bCs w:val="0"/>
        </w:rPr>
        <w:t>总则</w:t>
      </w:r>
    </w:p>
    <w:p>
      <w:pPr>
        <w:pStyle w:val="3"/>
        <w:spacing w:beforeLines="0" w:afterLines="0" w:line="560" w:lineRule="exact"/>
        <w:ind w:firstLine="632"/>
        <w:rPr>
          <w:rFonts w:cs="Times New Roman"/>
          <w:kern w:val="36"/>
        </w:rPr>
      </w:pPr>
      <w:r>
        <w:rPr>
          <w:rFonts w:hint="default" w:cs="Times New Roman"/>
          <w:kern w:val="36"/>
        </w:rPr>
        <w:t>根据《中共中央办公厅、国务院办公厅印发&lt;关于进一步完善中央财政科研项目资金管理等政策的若干意见&gt;的通知》（2016年）、《国务院关于优化科研管理提升科研绩效若干措施的通知》（</w:t>
      </w:r>
      <w:r>
        <w:rPr>
          <w:rFonts w:cs="Times New Roman"/>
          <w:kern w:val="36"/>
        </w:rPr>
        <w:t>国发〔2018〕25号 </w:t>
      </w:r>
      <w:r>
        <w:rPr>
          <w:rFonts w:hint="default" w:ascii="Times New Roman" w:hAnsi="Times New Roman" w:eastAsia="楷体" w:cs="Times New Roman"/>
          <w:color w:val="333333"/>
          <w:shd w:val="clear" w:color="auto" w:fill="FFFFFF"/>
        </w:rPr>
        <w:t>)</w:t>
      </w:r>
      <w:r>
        <w:rPr>
          <w:rFonts w:hint="default" w:cs="Times New Roman"/>
          <w:kern w:val="36"/>
        </w:rPr>
        <w:t>、《国务院办公厅关于改革完善中央财政科研经费管理的若干意见》（国办发〔2021〕32号)等文件精神结合我校实际，制定本办法。</w:t>
      </w:r>
    </w:p>
    <w:p>
      <w:pPr>
        <w:pStyle w:val="3"/>
        <w:spacing w:afterLines="0" w:line="560" w:lineRule="exact"/>
        <w:ind w:firstLine="632"/>
        <w:rPr>
          <w:rFonts w:cs="Times New Roman"/>
          <w:kern w:val="36"/>
        </w:rPr>
      </w:pPr>
      <w:r>
        <w:rPr>
          <w:rFonts w:hint="default" w:cs="Times New Roman"/>
          <w:kern w:val="36"/>
        </w:rPr>
        <w:t>本办法所称间接费用是指学校在组织实施项目过程中发生的无法在直接费用中列支的相关费用。主要包括：学校为项目研究提供的房屋占用，日常水、电、气、暖消耗，有关管理费用的补助支出，以及激励科研人员的绩效支出等。</w:t>
      </w:r>
    </w:p>
    <w:p>
      <w:pPr>
        <w:pStyle w:val="3"/>
        <w:spacing w:beforeLines="0" w:afterLines="0" w:line="560" w:lineRule="exact"/>
        <w:ind w:firstLine="632"/>
        <w:rPr>
          <w:rFonts w:cs="Times New Roman"/>
          <w:kern w:val="36"/>
        </w:rPr>
      </w:pPr>
      <w:r>
        <w:rPr>
          <w:rFonts w:hint="default" w:cs="Times New Roman"/>
          <w:kern w:val="36"/>
        </w:rPr>
        <w:t>间接费用纳入学校财务统一核算，分级管理，统筹使用。间接费用划分为学校间接费用、二级单位（含学院、研究院、直属系、中心等及其他不具有法人资格的单位）间接费用和项目组间接费用（含绩效）。学校间接费用原则上不能减免，除项目主管部门有明确规定外。</w:t>
      </w:r>
    </w:p>
    <w:p>
      <w:pPr>
        <w:pStyle w:val="2"/>
        <w:numPr>
          <w:ilvl w:val="-1"/>
          <w:numId w:val="0"/>
        </w:numPr>
        <w:spacing w:beforeLines="0" w:afterLines="0" w:line="560" w:lineRule="exact"/>
        <w:ind w:left="-420" w:firstLine="0"/>
        <w:rPr>
          <w:kern w:val="2"/>
        </w:rPr>
      </w:pPr>
    </w:p>
    <w:p>
      <w:pPr>
        <w:pStyle w:val="2"/>
        <w:spacing w:before="0" w:beforeLines="0" w:afterLines="0" w:line="560" w:lineRule="exact"/>
        <w:rPr>
          <w:rFonts w:cs="Times New Roman"/>
          <w:b w:val="0"/>
          <w:bCs w:val="0"/>
        </w:rPr>
      </w:pPr>
      <w:r>
        <w:rPr>
          <w:rFonts w:hint="default" w:cs="Times New Roman"/>
          <w:b w:val="0"/>
          <w:bCs w:val="0"/>
        </w:rPr>
        <w:t>间接费用预算管理</w:t>
      </w:r>
    </w:p>
    <w:p>
      <w:pPr>
        <w:pStyle w:val="3"/>
        <w:spacing w:afterLines="0" w:line="560" w:lineRule="exact"/>
        <w:ind w:firstLine="632"/>
        <w:rPr>
          <w:rFonts w:cs="Times New Roman"/>
          <w:kern w:val="36"/>
        </w:rPr>
      </w:pPr>
      <w:r>
        <w:rPr>
          <w:rFonts w:hint="default" w:cs="Times New Roman"/>
          <w:kern w:val="36"/>
        </w:rPr>
        <w:t>为保障项目支撑条件，间接费用预算申报原则上应当按照项目主管部门对间接费用预算规定的最高比例编制，经学校科学技术处审核后方可上报。间接费用预算一经项目主管部门批复不得调增，</w:t>
      </w:r>
      <w:r>
        <w:rPr>
          <w:rFonts w:hint="default" w:cs="Times New Roman"/>
          <w:kern w:val="0"/>
        </w:rPr>
        <w:t>项目直接经费余额不足以支持科研直接支出的，间接费用按学校政策分配后，课题组所属的间接费用可以申请调减用于直接费用。</w:t>
      </w:r>
    </w:p>
    <w:p>
      <w:pPr>
        <w:pStyle w:val="3"/>
        <w:spacing w:afterLines="0" w:line="560" w:lineRule="exact"/>
        <w:ind w:firstLine="632"/>
        <w:rPr>
          <w:rFonts w:cs="Times New Roman"/>
          <w:kern w:val="36"/>
        </w:rPr>
      </w:pPr>
      <w:r>
        <w:rPr>
          <w:rFonts w:hint="default" w:cs="Times New Roman"/>
          <w:kern w:val="36"/>
        </w:rPr>
        <w:t>间接费用预算按以下比例编制：</w:t>
      </w:r>
    </w:p>
    <w:p>
      <w:pPr>
        <w:pStyle w:val="3"/>
        <w:numPr>
          <w:ilvl w:val="0"/>
          <w:numId w:val="0"/>
        </w:numPr>
        <w:spacing w:afterLines="0" w:line="560" w:lineRule="exact"/>
        <w:ind w:firstLine="640" w:firstLineChars="200"/>
        <w:rPr>
          <w:rFonts w:cs="Times New Roman"/>
          <w:kern w:val="36"/>
        </w:rPr>
      </w:pPr>
      <w:r>
        <w:rPr>
          <w:rFonts w:cs="Times New Roman"/>
          <w:kern w:val="36"/>
        </w:rPr>
        <w:t>间接费用按照直接费用扣除设备购置费后的一定比例核定，</w:t>
      </w:r>
      <w:r>
        <w:rPr>
          <w:rFonts w:hint="default" w:cs="Times New Roman"/>
          <w:kern w:val="36"/>
        </w:rPr>
        <w:t>并实行总额控制</w:t>
      </w:r>
      <w:r>
        <w:rPr>
          <w:rFonts w:cs="Times New Roman"/>
          <w:kern w:val="36"/>
        </w:rPr>
        <w:t>。其中，500万元</w:t>
      </w:r>
      <w:r>
        <w:rPr>
          <w:rFonts w:hint="default" w:cs="Times New Roman"/>
          <w:kern w:val="36"/>
        </w:rPr>
        <w:t>及</w:t>
      </w:r>
      <w:r>
        <w:rPr>
          <w:rFonts w:cs="Times New Roman"/>
          <w:kern w:val="36"/>
        </w:rPr>
        <w:t>以下的部分，间接费用比例为不超过30%，500万元至1000万元的部分为不超过25%，</w:t>
      </w:r>
      <w:r>
        <w:rPr>
          <w:rFonts w:hint="default" w:cs="Times New Roman"/>
          <w:kern w:val="36"/>
        </w:rPr>
        <w:t>超过</w:t>
      </w:r>
      <w:r>
        <w:rPr>
          <w:rFonts w:cs="Times New Roman"/>
          <w:kern w:val="36"/>
        </w:rPr>
        <w:t>1000万元的部分为不超过20%；</w:t>
      </w:r>
    </w:p>
    <w:p>
      <w:pPr>
        <w:pStyle w:val="3"/>
        <w:numPr>
          <w:ilvl w:val="0"/>
          <w:numId w:val="0"/>
        </w:numPr>
        <w:spacing w:afterLines="0" w:line="560" w:lineRule="exact"/>
        <w:ind w:firstLine="640" w:firstLineChars="200"/>
        <w:rPr>
          <w:rFonts w:cs="Times New Roman"/>
          <w:kern w:val="36"/>
        </w:rPr>
      </w:pPr>
      <w:r>
        <w:rPr>
          <w:rFonts w:cs="Times New Roman"/>
          <w:kern w:val="36"/>
        </w:rPr>
        <w:t>对数学等纯理论基础研究项目，间接费用按照直接费用扣除设备购置费后的一定比例核定，</w:t>
      </w:r>
      <w:r>
        <w:rPr>
          <w:rFonts w:hint="default" w:cs="Times New Roman"/>
          <w:kern w:val="36"/>
        </w:rPr>
        <w:t>并实行总额控制</w:t>
      </w:r>
      <w:r>
        <w:rPr>
          <w:rFonts w:cs="Times New Roman"/>
          <w:kern w:val="36"/>
        </w:rPr>
        <w:t>。其中，500万元</w:t>
      </w:r>
      <w:r>
        <w:rPr>
          <w:rFonts w:hint="default" w:cs="Times New Roman"/>
          <w:kern w:val="36"/>
        </w:rPr>
        <w:t>及</w:t>
      </w:r>
      <w:r>
        <w:rPr>
          <w:rFonts w:cs="Times New Roman"/>
          <w:kern w:val="36"/>
        </w:rPr>
        <w:t>以下的部分，间接费用比例为不超过</w:t>
      </w:r>
      <w:r>
        <w:rPr>
          <w:rFonts w:hint="default" w:cs="Times New Roman"/>
          <w:kern w:val="36"/>
        </w:rPr>
        <w:t>6</w:t>
      </w:r>
      <w:r>
        <w:rPr>
          <w:rFonts w:cs="Times New Roman"/>
          <w:kern w:val="36"/>
        </w:rPr>
        <w:t>0%，500万元至1000万元的部分为不超过</w:t>
      </w:r>
      <w:r>
        <w:rPr>
          <w:rFonts w:hint="default" w:cs="Times New Roman"/>
          <w:kern w:val="36"/>
        </w:rPr>
        <w:t>50</w:t>
      </w:r>
      <w:r>
        <w:rPr>
          <w:rFonts w:cs="Times New Roman"/>
          <w:kern w:val="36"/>
        </w:rPr>
        <w:t>%，</w:t>
      </w:r>
      <w:r>
        <w:rPr>
          <w:rFonts w:hint="default" w:cs="Times New Roman"/>
          <w:kern w:val="36"/>
        </w:rPr>
        <w:t>超过</w:t>
      </w:r>
      <w:r>
        <w:rPr>
          <w:rFonts w:cs="Times New Roman"/>
          <w:kern w:val="36"/>
        </w:rPr>
        <w:t>1000万元的部分为不超过</w:t>
      </w:r>
      <w:r>
        <w:rPr>
          <w:rFonts w:hint="default" w:cs="Times New Roman"/>
          <w:kern w:val="36"/>
        </w:rPr>
        <w:t>40</w:t>
      </w:r>
      <w:r>
        <w:rPr>
          <w:rFonts w:cs="Times New Roman"/>
          <w:kern w:val="36"/>
        </w:rPr>
        <w:t>%。</w:t>
      </w:r>
    </w:p>
    <w:p>
      <w:pPr>
        <w:pStyle w:val="3"/>
        <w:numPr>
          <w:ilvl w:val="0"/>
          <w:numId w:val="0"/>
        </w:numPr>
        <w:spacing w:afterLines="0" w:line="560" w:lineRule="exact"/>
        <w:ind w:left="632"/>
        <w:rPr>
          <w:rFonts w:cs="Times New Roman"/>
          <w:kern w:val="36"/>
        </w:rPr>
      </w:pPr>
      <w:r>
        <w:rPr>
          <w:rFonts w:hint="default" w:cs="Times New Roman"/>
          <w:kern w:val="36"/>
        </w:rPr>
        <w:t>项目主管部门另有规定的，按其规定核定。</w:t>
      </w:r>
    </w:p>
    <w:p>
      <w:pPr>
        <w:pStyle w:val="3"/>
        <w:spacing w:afterLines="0" w:line="560" w:lineRule="exact"/>
        <w:ind w:firstLine="632"/>
        <w:rPr>
          <w:rFonts w:cs="Times New Roman"/>
          <w:kern w:val="36"/>
        </w:rPr>
      </w:pPr>
      <w:r>
        <w:rPr>
          <w:rFonts w:hint="default" w:cs="Times New Roman"/>
          <w:kern w:val="36"/>
        </w:rPr>
        <w:t>联合申报的项目，负责人应当在预算申报书（合同）中与合作单位约定间接费用分配方案，负责人应当积极争取，保障学校及自身权益。如我校作为牵头单位，合作单位的间接费用预算比例原则上不得超过课题总间接费用占总直接费扣除设备购置费后的比例；如我校作为项目合作单位，间接费用预算比例原则上不得低于课题总间接费用占总直接费扣除设备购置费后的比例。</w:t>
      </w:r>
    </w:p>
    <w:p>
      <w:pPr>
        <w:pStyle w:val="2"/>
        <w:numPr>
          <w:ilvl w:val="-1"/>
          <w:numId w:val="0"/>
        </w:numPr>
        <w:spacing w:beforeLines="0" w:afterLines="0" w:line="560" w:lineRule="exact"/>
        <w:ind w:left="-420" w:firstLine="0"/>
        <w:rPr>
          <w:kern w:val="2"/>
        </w:rPr>
      </w:pPr>
    </w:p>
    <w:p>
      <w:pPr>
        <w:pStyle w:val="2"/>
        <w:spacing w:before="0" w:beforeLines="0" w:afterLines="0" w:line="560" w:lineRule="exact"/>
        <w:rPr>
          <w:rFonts w:cs="Times New Roman"/>
          <w:b w:val="0"/>
          <w:bCs w:val="0"/>
        </w:rPr>
      </w:pPr>
      <w:r>
        <w:rPr>
          <w:rFonts w:hint="default" w:cs="Times New Roman"/>
          <w:b w:val="0"/>
          <w:bCs w:val="0"/>
        </w:rPr>
        <w:t>间接费用分配管理</w:t>
      </w:r>
    </w:p>
    <w:p>
      <w:pPr>
        <w:pStyle w:val="3"/>
        <w:spacing w:beforeLines="0" w:afterLines="0" w:line="560" w:lineRule="exact"/>
        <w:ind w:firstLine="632"/>
        <w:rPr>
          <w:rFonts w:ascii="Times New Roman" w:hAnsi="Times New Roman" w:eastAsia="仿宋_GB2312" w:cs="Times New Roman"/>
        </w:rPr>
      </w:pPr>
      <w:r>
        <w:rPr>
          <w:rFonts w:hint="default" w:cs="Times New Roman"/>
          <w:kern w:val="36"/>
        </w:rPr>
        <w:t>间接费用按以下比例分配</w:t>
      </w:r>
    </w:p>
    <w:tbl>
      <w:tblPr>
        <w:tblStyle w:val="13"/>
        <w:tblW w:w="8638"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038"/>
        <w:gridCol w:w="2643"/>
        <w:gridCol w:w="2521"/>
        <w:gridCol w:w="243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849"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pStyle w:val="3"/>
              <w:numPr>
                <w:ilvl w:val="0"/>
                <w:numId w:val="0"/>
              </w:numPr>
              <w:spacing w:afterLines="0" w:line="560" w:lineRule="exact"/>
              <w:ind w:firstLine="280" w:firstLineChars="100"/>
              <w:jc w:val="center"/>
              <w:rPr>
                <w:rFonts w:hint="default" w:cs="Times New Roman"/>
                <w:kern w:val="36"/>
                <w:sz w:val="28"/>
                <w:szCs w:val="28"/>
              </w:rPr>
            </w:pPr>
            <w:r>
              <w:rPr>
                <w:rFonts w:hint="default" w:cs="Times New Roman"/>
                <w:kern w:val="36"/>
                <w:sz w:val="28"/>
                <w:szCs w:val="28"/>
              </w:rPr>
              <w:t>科目</w:t>
            </w:r>
          </w:p>
        </w:tc>
        <w:tc>
          <w:tcPr>
            <w:tcW w:w="2643" w:type="dxa"/>
            <w:tcBorders>
              <w:top w:val="single" w:color="auto" w:sz="4" w:space="0"/>
              <w:left w:val="single" w:color="auto" w:sz="4" w:space="0"/>
              <w:bottom w:val="single" w:color="auto" w:sz="4" w:space="0"/>
              <w:right w:val="single" w:color="auto" w:sz="4" w:space="0"/>
            </w:tcBorders>
            <w:vAlign w:val="center"/>
          </w:tcPr>
          <w:p>
            <w:pPr>
              <w:pStyle w:val="3"/>
              <w:numPr>
                <w:ilvl w:val="0"/>
                <w:numId w:val="0"/>
              </w:numPr>
              <w:spacing w:afterLines="0" w:line="560" w:lineRule="exact"/>
              <w:jc w:val="center"/>
              <w:rPr>
                <w:rFonts w:hint="default" w:cs="Times New Roman"/>
                <w:kern w:val="36"/>
                <w:sz w:val="28"/>
                <w:szCs w:val="28"/>
              </w:rPr>
            </w:pPr>
            <w:r>
              <w:rPr>
                <w:rFonts w:hint="default" w:cs="Times New Roman"/>
                <w:kern w:val="36"/>
                <w:sz w:val="28"/>
                <w:szCs w:val="28"/>
              </w:rPr>
              <w:t>学校间接费用</w:t>
            </w:r>
          </w:p>
        </w:tc>
        <w:tc>
          <w:tcPr>
            <w:tcW w:w="2521" w:type="dxa"/>
            <w:tcBorders>
              <w:top w:val="single" w:color="auto" w:sz="4" w:space="0"/>
              <w:left w:val="single" w:color="auto" w:sz="4" w:space="0"/>
              <w:bottom w:val="single" w:color="auto" w:sz="4" w:space="0"/>
              <w:right w:val="single" w:color="auto" w:sz="4" w:space="0"/>
            </w:tcBorders>
            <w:vAlign w:val="center"/>
          </w:tcPr>
          <w:p>
            <w:pPr>
              <w:pStyle w:val="3"/>
              <w:numPr>
                <w:ilvl w:val="0"/>
                <w:numId w:val="0"/>
              </w:numPr>
              <w:spacing w:afterLines="0" w:line="560" w:lineRule="exact"/>
              <w:ind w:left="19" w:leftChars="9" w:firstLine="140" w:firstLineChars="50"/>
              <w:jc w:val="center"/>
              <w:rPr>
                <w:rFonts w:hint="default" w:cs="Times New Roman"/>
                <w:kern w:val="36"/>
                <w:sz w:val="28"/>
                <w:szCs w:val="28"/>
              </w:rPr>
            </w:pPr>
            <w:r>
              <w:rPr>
                <w:rFonts w:hint="default" w:cs="Times New Roman"/>
                <w:kern w:val="36"/>
                <w:sz w:val="28"/>
                <w:szCs w:val="28"/>
              </w:rPr>
              <w:t>二级单位间接费用</w:t>
            </w:r>
          </w:p>
        </w:tc>
        <w:tc>
          <w:tcPr>
            <w:tcW w:w="2436" w:type="dxa"/>
            <w:tcBorders>
              <w:top w:val="single" w:color="auto" w:sz="4" w:space="0"/>
              <w:left w:val="single" w:color="auto" w:sz="4" w:space="0"/>
              <w:bottom w:val="single" w:color="auto" w:sz="4" w:space="0"/>
              <w:right w:val="single" w:color="auto" w:sz="4" w:space="0"/>
            </w:tcBorders>
          </w:tcPr>
          <w:p>
            <w:pPr>
              <w:pStyle w:val="3"/>
              <w:numPr>
                <w:ilvl w:val="0"/>
                <w:numId w:val="0"/>
              </w:numPr>
              <w:spacing w:afterLines="0" w:line="560" w:lineRule="exact"/>
              <w:ind w:left="299" w:leftChars="9" w:hanging="280" w:hangingChars="100"/>
              <w:jc w:val="center"/>
              <w:rPr>
                <w:rFonts w:hint="default" w:cs="Times New Roman"/>
                <w:kern w:val="36"/>
                <w:sz w:val="28"/>
                <w:szCs w:val="28"/>
              </w:rPr>
            </w:pPr>
            <w:r>
              <w:rPr>
                <w:rFonts w:hint="default" w:cs="Times New Roman"/>
                <w:kern w:val="36"/>
                <w:sz w:val="28"/>
                <w:szCs w:val="28"/>
              </w:rPr>
              <w:t>项目组间接费用</w:t>
            </w:r>
          </w:p>
          <w:p>
            <w:pPr>
              <w:pStyle w:val="3"/>
              <w:numPr>
                <w:ilvl w:val="0"/>
                <w:numId w:val="0"/>
              </w:numPr>
              <w:spacing w:afterLines="0" w:line="560" w:lineRule="exact"/>
              <w:ind w:left="299" w:leftChars="9" w:hanging="280" w:hangingChars="100"/>
              <w:jc w:val="center"/>
              <w:rPr>
                <w:rFonts w:hint="default" w:cs="Times New Roman"/>
                <w:kern w:val="36"/>
                <w:sz w:val="28"/>
                <w:szCs w:val="28"/>
              </w:rPr>
            </w:pPr>
            <w:r>
              <w:rPr>
                <w:rFonts w:hint="default" w:cs="Times New Roman"/>
                <w:kern w:val="36"/>
                <w:sz w:val="28"/>
                <w:szCs w:val="28"/>
              </w:rPr>
              <w:t>（含绩效）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91"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pStyle w:val="3"/>
              <w:numPr>
                <w:ilvl w:val="0"/>
                <w:numId w:val="0"/>
              </w:numPr>
              <w:spacing w:afterLines="0" w:line="560" w:lineRule="exact"/>
              <w:ind w:left="171" w:firstLine="123" w:firstLineChars="44"/>
              <w:jc w:val="both"/>
              <w:rPr>
                <w:rFonts w:hint="default" w:cs="Times New Roman"/>
                <w:kern w:val="36"/>
                <w:sz w:val="28"/>
                <w:szCs w:val="28"/>
              </w:rPr>
            </w:pPr>
            <w:r>
              <w:rPr>
                <w:rFonts w:hint="default" w:cs="Times New Roman"/>
                <w:kern w:val="36"/>
                <w:sz w:val="28"/>
                <w:szCs w:val="28"/>
              </w:rPr>
              <w:t>比例</w:t>
            </w:r>
          </w:p>
        </w:tc>
        <w:tc>
          <w:tcPr>
            <w:tcW w:w="2643" w:type="dxa"/>
            <w:tcBorders>
              <w:top w:val="single" w:color="auto" w:sz="4" w:space="0"/>
              <w:left w:val="single" w:color="auto" w:sz="4" w:space="0"/>
              <w:bottom w:val="single" w:color="auto" w:sz="4" w:space="0"/>
              <w:right w:val="single" w:color="auto" w:sz="4" w:space="0"/>
            </w:tcBorders>
            <w:vAlign w:val="center"/>
          </w:tcPr>
          <w:p>
            <w:pPr>
              <w:pStyle w:val="3"/>
              <w:numPr>
                <w:ilvl w:val="0"/>
                <w:numId w:val="0"/>
              </w:numPr>
              <w:spacing w:afterLines="0" w:line="560" w:lineRule="exact"/>
              <w:ind w:left="0" w:firstLine="0" w:firstLineChars="0"/>
              <w:jc w:val="both"/>
              <w:rPr>
                <w:rFonts w:hint="default" w:cs="Times New Roman"/>
                <w:kern w:val="36"/>
                <w:sz w:val="28"/>
                <w:szCs w:val="28"/>
              </w:rPr>
            </w:pPr>
            <w:r>
              <w:rPr>
                <w:rFonts w:hint="default" w:cs="Times New Roman"/>
                <w:kern w:val="36"/>
                <w:sz w:val="28"/>
                <w:szCs w:val="28"/>
              </w:rPr>
              <w:t>按项目主管部门对间接费用预算规定的最高比例的20%</w:t>
            </w:r>
          </w:p>
        </w:tc>
        <w:tc>
          <w:tcPr>
            <w:tcW w:w="2521" w:type="dxa"/>
            <w:tcBorders>
              <w:top w:val="single" w:color="auto" w:sz="4" w:space="0"/>
              <w:left w:val="single" w:color="auto" w:sz="4" w:space="0"/>
              <w:bottom w:val="single" w:color="auto" w:sz="4" w:space="0"/>
              <w:right w:val="single" w:color="auto" w:sz="4" w:space="0"/>
            </w:tcBorders>
            <w:vAlign w:val="center"/>
          </w:tcPr>
          <w:p>
            <w:pPr>
              <w:pStyle w:val="3"/>
              <w:numPr>
                <w:ilvl w:val="0"/>
                <w:numId w:val="0"/>
              </w:numPr>
              <w:spacing w:afterLines="0" w:line="560" w:lineRule="exact"/>
              <w:ind w:left="0" w:leftChars="0" w:firstLine="0" w:firstLineChars="0"/>
              <w:jc w:val="both"/>
              <w:rPr>
                <w:rFonts w:hint="default" w:cs="Times New Roman"/>
                <w:kern w:val="36"/>
                <w:sz w:val="28"/>
                <w:szCs w:val="28"/>
              </w:rPr>
            </w:pPr>
            <w:r>
              <w:rPr>
                <w:rFonts w:hint="default" w:cs="Times New Roman"/>
                <w:kern w:val="36"/>
                <w:sz w:val="28"/>
                <w:szCs w:val="28"/>
              </w:rPr>
              <w:t>扣除学校间接费用后剩余的12%</w:t>
            </w:r>
          </w:p>
        </w:tc>
        <w:tc>
          <w:tcPr>
            <w:tcW w:w="2436" w:type="dxa"/>
            <w:tcBorders>
              <w:top w:val="single" w:color="auto" w:sz="4" w:space="0"/>
              <w:left w:val="single" w:color="auto" w:sz="4" w:space="0"/>
              <w:bottom w:val="single" w:color="auto" w:sz="4" w:space="0"/>
              <w:right w:val="single" w:color="auto" w:sz="4" w:space="0"/>
            </w:tcBorders>
            <w:vAlign w:val="center"/>
          </w:tcPr>
          <w:p>
            <w:pPr>
              <w:pStyle w:val="3"/>
              <w:numPr>
                <w:ilvl w:val="0"/>
                <w:numId w:val="0"/>
              </w:numPr>
              <w:spacing w:afterLines="0" w:line="560" w:lineRule="exact"/>
              <w:ind w:left="0" w:leftChars="0" w:firstLine="0" w:firstLineChars="0"/>
              <w:jc w:val="both"/>
              <w:rPr>
                <w:rFonts w:hint="default" w:cs="Times New Roman"/>
                <w:kern w:val="36"/>
                <w:sz w:val="28"/>
                <w:szCs w:val="28"/>
              </w:rPr>
            </w:pPr>
            <w:r>
              <w:rPr>
                <w:rFonts w:hint="default" w:cs="Times New Roman"/>
                <w:kern w:val="36"/>
                <w:sz w:val="28"/>
                <w:szCs w:val="28"/>
              </w:rPr>
              <w:t>扣除学校间接费用后剩余的88%</w:t>
            </w:r>
          </w:p>
        </w:tc>
      </w:tr>
    </w:tbl>
    <w:p>
      <w:pPr>
        <w:pStyle w:val="3"/>
        <w:numPr>
          <w:ilvl w:val="0"/>
          <w:numId w:val="0"/>
        </w:numPr>
        <w:spacing w:afterLines="0" w:line="560" w:lineRule="exact"/>
        <w:ind w:left="145" w:leftChars="69" w:firstLine="643" w:firstLineChars="201"/>
        <w:rPr>
          <w:rFonts w:cs="Times New Roman"/>
          <w:kern w:val="36"/>
        </w:rPr>
      </w:pPr>
      <w:r>
        <w:rPr>
          <w:rFonts w:cs="Times New Roman"/>
          <w:kern w:val="36"/>
        </w:rPr>
        <w:t>对数学等纯理论基础研究项目</w:t>
      </w:r>
      <w:r>
        <w:rPr>
          <w:rFonts w:hint="default" w:cs="Times New Roman"/>
          <w:kern w:val="36"/>
        </w:rPr>
        <w:t>间接费用预算高于3</w:t>
      </w:r>
      <w:r>
        <w:rPr>
          <w:rFonts w:cs="Times New Roman"/>
          <w:kern w:val="36"/>
        </w:rPr>
        <w:t>0%</w:t>
      </w:r>
      <w:r>
        <w:rPr>
          <w:rFonts w:hint="default" w:cs="Times New Roman"/>
          <w:kern w:val="36"/>
        </w:rPr>
        <w:t>的，</w:t>
      </w:r>
      <w:r>
        <w:rPr>
          <w:rFonts w:hint="default" w:cs="Times New Roman"/>
          <w:kern w:val="36"/>
          <w:lang w:val="en-US" w:eastAsia="zh-CN"/>
        </w:rPr>
        <w:t>间接费分配时，</w:t>
      </w:r>
      <w:r>
        <w:rPr>
          <w:rFonts w:hint="default" w:cs="Times New Roman"/>
          <w:kern w:val="36"/>
        </w:rPr>
        <w:t>项目主管部门对间接费用预算规定的最高比例</w:t>
      </w:r>
      <w:r>
        <w:rPr>
          <w:rFonts w:hint="default" w:cs="Times New Roman"/>
          <w:kern w:val="36"/>
          <w:lang w:val="en-US" w:eastAsia="zh-CN"/>
        </w:rPr>
        <w:t>按</w:t>
      </w:r>
      <w:r>
        <w:rPr>
          <w:rFonts w:cs="Times New Roman"/>
          <w:kern w:val="36"/>
        </w:rPr>
        <w:t>直接费用扣除设备购置费后500</w:t>
      </w:r>
      <w:r>
        <w:rPr>
          <w:rFonts w:hint="default" w:cs="Times New Roman"/>
          <w:kern w:val="36"/>
        </w:rPr>
        <w:t>万元及以下</w:t>
      </w:r>
      <w:r>
        <w:rPr>
          <w:rFonts w:cs="Times New Roman"/>
          <w:kern w:val="36"/>
        </w:rPr>
        <w:t>的部分</w:t>
      </w:r>
      <w:r>
        <w:rPr>
          <w:rFonts w:hint="default" w:cs="Times New Roman"/>
          <w:kern w:val="36"/>
        </w:rPr>
        <w:t>3</w:t>
      </w:r>
      <w:r>
        <w:rPr>
          <w:rFonts w:cs="Times New Roman"/>
          <w:kern w:val="36"/>
        </w:rPr>
        <w:t>0%，500</w:t>
      </w:r>
      <w:r>
        <w:rPr>
          <w:rFonts w:hint="default" w:cs="Times New Roman"/>
          <w:kern w:val="36"/>
        </w:rPr>
        <w:t>万元至</w:t>
      </w:r>
      <w:r>
        <w:rPr>
          <w:rFonts w:cs="Times New Roman"/>
          <w:kern w:val="36"/>
        </w:rPr>
        <w:t>1000</w:t>
      </w:r>
      <w:r>
        <w:rPr>
          <w:rFonts w:hint="default" w:cs="Times New Roman"/>
          <w:kern w:val="36"/>
        </w:rPr>
        <w:t>万元</w:t>
      </w:r>
      <w:r>
        <w:rPr>
          <w:rFonts w:cs="Times New Roman"/>
          <w:kern w:val="36"/>
        </w:rPr>
        <w:t>的部分25%，</w:t>
      </w:r>
      <w:r>
        <w:rPr>
          <w:rFonts w:hint="default" w:cs="Times New Roman"/>
          <w:kern w:val="36"/>
        </w:rPr>
        <w:t>超过</w:t>
      </w:r>
      <w:r>
        <w:rPr>
          <w:rFonts w:cs="Times New Roman"/>
          <w:kern w:val="36"/>
        </w:rPr>
        <w:t>1000万元的部分20%</w:t>
      </w:r>
      <w:r>
        <w:rPr>
          <w:rFonts w:hint="default" w:cs="Times New Roman"/>
          <w:kern w:val="36"/>
          <w:lang w:val="en-US" w:eastAsia="zh-CN"/>
        </w:rPr>
        <w:t>测算</w:t>
      </w:r>
      <w:r>
        <w:rPr>
          <w:rFonts w:hint="default" w:cs="Times New Roman"/>
          <w:kern w:val="36"/>
        </w:rPr>
        <w:t>，余下间接费分配予项目组。</w:t>
      </w:r>
    </w:p>
    <w:p>
      <w:pPr>
        <w:pStyle w:val="3"/>
        <w:numPr>
          <w:ilvl w:val="0"/>
          <w:numId w:val="0"/>
        </w:numPr>
        <w:spacing w:afterLines="0" w:line="560" w:lineRule="exact"/>
        <w:ind w:left="145" w:leftChars="69" w:firstLine="649" w:firstLineChars="203"/>
        <w:rPr>
          <w:rFonts w:cs="Times New Roman"/>
          <w:kern w:val="36"/>
        </w:rPr>
      </w:pPr>
      <w:r>
        <w:rPr>
          <w:rFonts w:hint="default" w:cs="Times New Roman"/>
          <w:kern w:val="36"/>
        </w:rPr>
        <w:t>对项目主管部门间接费用预算规定最高比例低于30%的，学校间接费用</w:t>
      </w:r>
      <w:r>
        <w:rPr>
          <w:rFonts w:hint="default" w:cs="Times New Roman"/>
          <w:kern w:val="36"/>
          <w:lang w:eastAsia="zh-CN"/>
        </w:rPr>
        <w:t>、</w:t>
      </w:r>
      <w:r>
        <w:rPr>
          <w:rFonts w:hint="default" w:cs="Times New Roman"/>
          <w:kern w:val="36"/>
        </w:rPr>
        <w:t>学院（含课题组）间接费用按30%</w:t>
      </w:r>
      <w:r>
        <w:rPr>
          <w:rFonts w:hint="default" w:cs="Times New Roman"/>
          <w:kern w:val="36"/>
          <w:lang w:eastAsia="zh-CN"/>
        </w:rPr>
        <w:t>、</w:t>
      </w:r>
      <w:r>
        <w:rPr>
          <w:rFonts w:hint="default" w:cs="Times New Roman"/>
          <w:kern w:val="36"/>
        </w:rPr>
        <w:t>7</w:t>
      </w:r>
      <w:r>
        <w:rPr>
          <w:rFonts w:cs="Times New Roman"/>
          <w:kern w:val="36"/>
        </w:rPr>
        <w:t>0%</w:t>
      </w:r>
      <w:r>
        <w:rPr>
          <w:rFonts w:hint="default" w:cs="Times New Roman"/>
          <w:kern w:val="36"/>
        </w:rPr>
        <w:t>分配，学院间接费用为扣除学校间接费用后剩余的20%；课题组间接费用为扣除学校间接费用后剩余的80%。</w:t>
      </w:r>
    </w:p>
    <w:p>
      <w:pPr>
        <w:pStyle w:val="3"/>
        <w:spacing w:afterLines="0" w:line="560" w:lineRule="exact"/>
        <w:ind w:firstLine="632"/>
        <w:rPr>
          <w:rFonts w:cs="Times New Roman"/>
          <w:kern w:val="36"/>
        </w:rPr>
      </w:pPr>
      <w:r>
        <w:rPr>
          <w:rFonts w:hint="default" w:cs="Times New Roman"/>
          <w:kern w:val="36"/>
        </w:rPr>
        <w:t>校内跨单位合作申请的项目，获批的间接费用根据各单位承担的工作，由项目负责人在经费认领前提出间接费用分割方案，经各单位及科学技术处审批同意后，按分割方案予以分配。</w:t>
      </w:r>
    </w:p>
    <w:p>
      <w:pPr>
        <w:pStyle w:val="3"/>
        <w:spacing w:afterLines="0" w:line="560" w:lineRule="exact"/>
        <w:ind w:firstLine="632"/>
        <w:rPr>
          <w:rFonts w:cs="Times New Roman"/>
          <w:kern w:val="36"/>
        </w:rPr>
      </w:pPr>
      <w:r>
        <w:rPr>
          <w:rFonts w:hint="default" w:cs="Times New Roman"/>
          <w:kern w:val="36"/>
        </w:rPr>
        <w:t>二级单位间接</w:t>
      </w:r>
      <w:bookmarkStart w:id="2" w:name="_Hlk11939664"/>
      <w:r>
        <w:rPr>
          <w:rFonts w:hint="default" w:cs="Times New Roman"/>
          <w:kern w:val="36"/>
        </w:rPr>
        <w:t>费用由二级单位统一管理，单独建卡，</w:t>
      </w:r>
      <w:bookmarkEnd w:id="2"/>
      <w:r>
        <w:rPr>
          <w:rFonts w:hint="default" w:cs="Times New Roman"/>
          <w:kern w:val="36"/>
        </w:rPr>
        <w:t>用于二级单位为项目研究提供的房屋占用，日常水、电、气、暖消耗等成本补偿，二级单位科研发展及有关管理费用的补助等支出。</w:t>
      </w:r>
    </w:p>
    <w:p>
      <w:pPr>
        <w:pStyle w:val="3"/>
        <w:spacing w:afterLines="0" w:line="560" w:lineRule="exact"/>
        <w:ind w:firstLine="632"/>
        <w:rPr>
          <w:rFonts w:cs="Times New Roman"/>
          <w:kern w:val="36"/>
        </w:rPr>
      </w:pPr>
      <w:r>
        <w:rPr>
          <w:rFonts w:hint="default" w:cs="Times New Roman"/>
          <w:kern w:val="36"/>
        </w:rPr>
        <w:t>项目组间接费用（含绩效）由二级单位统一管理，单独建卡，主要用于项目组间接成本支出、绩效支出及与项目研究相关且直接经费无法列支的支出等。</w:t>
      </w:r>
    </w:p>
    <w:p>
      <w:pPr>
        <w:pStyle w:val="3"/>
        <w:numPr>
          <w:ilvl w:val="0"/>
          <w:numId w:val="0"/>
        </w:numPr>
        <w:spacing w:afterLines="0" w:line="560" w:lineRule="exact"/>
        <w:ind w:firstLine="678" w:firstLineChars="212"/>
        <w:rPr>
          <w:rFonts w:cs="Times New Roman"/>
          <w:kern w:val="36"/>
        </w:rPr>
      </w:pPr>
      <w:r>
        <w:rPr>
          <w:rFonts w:hint="default" w:cs="Times New Roman"/>
          <w:kern w:val="36"/>
        </w:rPr>
        <w:t>绩效支出不设比例限制，项目组要处理好间接成本分摊和对科研人员激励的关系</w:t>
      </w:r>
      <w:r>
        <w:rPr>
          <w:rFonts w:cs="Times New Roman"/>
          <w:kern w:val="36"/>
        </w:rPr>
        <w:t>。</w:t>
      </w:r>
      <w:r>
        <w:rPr>
          <w:rFonts w:hint="default" w:cs="Times New Roman"/>
          <w:kern w:val="36"/>
        </w:rPr>
        <w:t>绩效支出原则上用于实际参加课题研究的项目组成员，安排的绩效支出应与在项目工作中的实际贡献挂钩，严禁与课题无关的人员参与绩效分配。</w:t>
      </w:r>
    </w:p>
    <w:p>
      <w:pPr>
        <w:pStyle w:val="3"/>
        <w:numPr>
          <w:ilvl w:val="0"/>
          <w:numId w:val="0"/>
        </w:numPr>
        <w:spacing w:afterLines="0" w:line="560" w:lineRule="exact"/>
        <w:ind w:firstLine="678" w:firstLineChars="212"/>
        <w:rPr>
          <w:rFonts w:cs="Times New Roman"/>
          <w:kern w:val="36"/>
        </w:rPr>
      </w:pPr>
      <w:r>
        <w:rPr>
          <w:rFonts w:hint="default" w:cs="Times New Roman"/>
          <w:kern w:val="36"/>
        </w:rPr>
        <w:t>绩效支出由项目负责人提出申请，项目组内公示，二级单位在科研工作绩效考核的基础上予以审批并公开，财务处根据二级单位审批的绩效支出方案予以发放绩效。</w:t>
      </w:r>
    </w:p>
    <w:p>
      <w:pPr>
        <w:pStyle w:val="3"/>
        <w:spacing w:beforeLines="0" w:afterLines="0" w:line="560" w:lineRule="exact"/>
        <w:ind w:firstLine="632"/>
        <w:rPr>
          <w:rFonts w:cs="Times New Roman"/>
          <w:kern w:val="36"/>
        </w:rPr>
      </w:pPr>
      <w:r>
        <w:rPr>
          <w:rFonts w:hint="default" w:cs="Times New Roman"/>
          <w:kern w:val="36"/>
        </w:rPr>
        <w:t>二级单位应当定期公布各项目间接费用计提情况和二级单位间接费用收支情况。</w:t>
      </w:r>
    </w:p>
    <w:p>
      <w:pPr>
        <w:pStyle w:val="2"/>
        <w:numPr>
          <w:ilvl w:val="-1"/>
          <w:numId w:val="0"/>
        </w:numPr>
        <w:spacing w:beforeLines="0"/>
        <w:ind w:left="-420" w:firstLine="0"/>
        <w:rPr>
          <w:kern w:val="2"/>
        </w:rPr>
      </w:pPr>
    </w:p>
    <w:p>
      <w:pPr>
        <w:pStyle w:val="2"/>
        <w:spacing w:before="0" w:beforeLines="0" w:afterLines="0" w:line="560" w:lineRule="exact"/>
        <w:rPr>
          <w:rFonts w:cs="Times New Roman"/>
          <w:b w:val="0"/>
          <w:bCs w:val="0"/>
        </w:rPr>
      </w:pPr>
      <w:r>
        <w:rPr>
          <w:rFonts w:hint="default" w:cs="Times New Roman"/>
          <w:b w:val="0"/>
          <w:bCs w:val="0"/>
        </w:rPr>
        <w:t>间接费用的监督管理</w:t>
      </w:r>
    </w:p>
    <w:p>
      <w:pPr>
        <w:pStyle w:val="3"/>
        <w:spacing w:beforeLines="0" w:afterLines="0" w:line="560" w:lineRule="exact"/>
        <w:ind w:firstLine="632"/>
        <w:rPr>
          <w:rFonts w:cs="Times New Roman"/>
          <w:kern w:val="36"/>
        </w:rPr>
      </w:pPr>
      <w:r>
        <w:rPr>
          <w:rFonts w:hint="default" w:cs="Times New Roman"/>
          <w:kern w:val="36"/>
        </w:rPr>
        <w:t>间接费用严禁用于支付各种罚款、捐款、赞助、投资等，严禁以任何方式牟取私利。</w:t>
      </w:r>
    </w:p>
    <w:p>
      <w:pPr>
        <w:pStyle w:val="3"/>
        <w:spacing w:afterLines="0" w:line="560" w:lineRule="exact"/>
        <w:ind w:firstLine="632"/>
        <w:rPr>
          <w:rFonts w:cs="Times New Roman"/>
          <w:kern w:val="36"/>
        </w:rPr>
      </w:pPr>
      <w:r>
        <w:rPr>
          <w:rFonts w:cs="Times New Roman"/>
          <w:kern w:val="36"/>
        </w:rPr>
        <w:t>存在以下情况之一者</w:t>
      </w:r>
      <w:r>
        <w:rPr>
          <w:rFonts w:hint="default" w:cs="Times New Roman"/>
          <w:kern w:val="36"/>
        </w:rPr>
        <w:t>，</w:t>
      </w:r>
      <w:r>
        <w:rPr>
          <w:rFonts w:cs="Times New Roman"/>
          <w:kern w:val="36"/>
        </w:rPr>
        <w:t>不</w:t>
      </w:r>
      <w:r>
        <w:rPr>
          <w:rFonts w:hint="default" w:cs="Times New Roman"/>
          <w:kern w:val="36"/>
        </w:rPr>
        <w:t>再</w:t>
      </w:r>
      <w:r>
        <w:rPr>
          <w:rFonts w:cs="Times New Roman"/>
          <w:kern w:val="36"/>
        </w:rPr>
        <w:t>发放</w:t>
      </w:r>
      <w:r>
        <w:rPr>
          <w:rFonts w:hint="default" w:cs="Times New Roman"/>
          <w:kern w:val="36"/>
        </w:rPr>
        <w:t>所涉及项目的</w:t>
      </w:r>
      <w:r>
        <w:rPr>
          <w:rFonts w:cs="Times New Roman"/>
          <w:kern w:val="36"/>
        </w:rPr>
        <w:t>科研绩效</w:t>
      </w:r>
      <w:r>
        <w:rPr>
          <w:rFonts w:hint="default" w:cs="Times New Roman"/>
          <w:kern w:val="36"/>
        </w:rPr>
        <w:t>，</w:t>
      </w:r>
      <w:r>
        <w:rPr>
          <w:rFonts w:cs="Times New Roman"/>
          <w:kern w:val="36"/>
        </w:rPr>
        <w:t>并</w:t>
      </w:r>
      <w:r>
        <w:rPr>
          <w:rFonts w:hint="default" w:cs="Times New Roman"/>
          <w:kern w:val="36"/>
        </w:rPr>
        <w:t>有权</w:t>
      </w:r>
      <w:r>
        <w:rPr>
          <w:rFonts w:cs="Times New Roman"/>
          <w:kern w:val="36"/>
        </w:rPr>
        <w:t>收回已发放</w:t>
      </w:r>
      <w:r>
        <w:rPr>
          <w:rFonts w:hint="default" w:cs="Times New Roman"/>
          <w:kern w:val="36"/>
        </w:rPr>
        <w:t>的全部或部分科研绩效：</w:t>
      </w:r>
    </w:p>
    <w:p>
      <w:pPr>
        <w:pStyle w:val="3"/>
        <w:numPr>
          <w:ilvl w:val="0"/>
          <w:numId w:val="0"/>
        </w:numPr>
        <w:spacing w:afterLines="0" w:line="560" w:lineRule="exact"/>
        <w:ind w:left="632"/>
        <w:rPr>
          <w:rFonts w:cs="Times New Roman"/>
          <w:kern w:val="36"/>
        </w:rPr>
      </w:pPr>
      <w:r>
        <w:rPr>
          <w:rFonts w:hint="default" w:cs="Times New Roman"/>
          <w:kern w:val="36"/>
        </w:rPr>
        <w:t>（一）</w:t>
      </w:r>
      <w:r>
        <w:rPr>
          <w:rFonts w:cs="Times New Roman"/>
          <w:kern w:val="36"/>
        </w:rPr>
        <w:t>违反学术道德规范</w:t>
      </w:r>
      <w:r>
        <w:rPr>
          <w:rFonts w:hint="default" w:cs="Times New Roman"/>
          <w:kern w:val="36"/>
        </w:rPr>
        <w:t>的</w:t>
      </w:r>
      <w:r>
        <w:rPr>
          <w:rFonts w:cs="Times New Roman"/>
          <w:kern w:val="36"/>
        </w:rPr>
        <w:t>；</w:t>
      </w:r>
    </w:p>
    <w:p>
      <w:pPr>
        <w:pStyle w:val="3"/>
        <w:numPr>
          <w:ilvl w:val="0"/>
          <w:numId w:val="0"/>
        </w:numPr>
        <w:spacing w:afterLines="0" w:line="560" w:lineRule="exact"/>
        <w:ind w:left="632"/>
        <w:rPr>
          <w:rFonts w:cs="Times New Roman"/>
          <w:kern w:val="36"/>
        </w:rPr>
      </w:pPr>
      <w:r>
        <w:rPr>
          <w:rFonts w:hint="default" w:cs="Times New Roman"/>
          <w:kern w:val="36"/>
        </w:rPr>
        <w:t>（二）</w:t>
      </w:r>
      <w:r>
        <w:rPr>
          <w:rFonts w:cs="Times New Roman"/>
          <w:kern w:val="36"/>
        </w:rPr>
        <w:t>项目结题验收不合格，或项目被终止、</w:t>
      </w:r>
      <w:r>
        <w:rPr>
          <w:rFonts w:hint="default" w:cs="Times New Roman"/>
          <w:kern w:val="36"/>
        </w:rPr>
        <w:t>撤销</w:t>
      </w:r>
      <w:r>
        <w:rPr>
          <w:rFonts w:cs="Times New Roman"/>
          <w:kern w:val="36"/>
        </w:rPr>
        <w:t>的</w:t>
      </w:r>
      <w:r>
        <w:rPr>
          <w:rFonts w:hint="default" w:cs="Times New Roman"/>
          <w:kern w:val="36"/>
        </w:rPr>
        <w:t>。</w:t>
      </w:r>
    </w:p>
    <w:p>
      <w:pPr>
        <w:pStyle w:val="3"/>
        <w:numPr>
          <w:ilvl w:val="0"/>
          <w:numId w:val="0"/>
        </w:numPr>
        <w:spacing w:beforeLines="0" w:afterLines="0" w:line="560" w:lineRule="exact"/>
        <w:ind w:firstLine="678" w:firstLineChars="212"/>
        <w:rPr>
          <w:rFonts w:hint="default" w:cs="Times New Roman"/>
          <w:kern w:val="36"/>
        </w:rPr>
      </w:pPr>
      <w:r>
        <w:rPr>
          <w:rFonts w:cs="Times New Roman"/>
          <w:kern w:val="36"/>
        </w:rPr>
        <w:t>对于间接费用使用、管理存在弄虚作假等违法违规行为的，按照有关法律法规予以责任追究；涉嫌犯罪的，</w:t>
      </w:r>
      <w:r>
        <w:rPr>
          <w:rFonts w:hint="default" w:cs="Times New Roman"/>
          <w:kern w:val="36"/>
        </w:rPr>
        <w:t>依法</w:t>
      </w:r>
      <w:r>
        <w:rPr>
          <w:rFonts w:cs="Times New Roman"/>
          <w:kern w:val="36"/>
        </w:rPr>
        <w:t>移送</w:t>
      </w:r>
      <w:r>
        <w:rPr>
          <w:rFonts w:hint="default" w:cs="Times New Roman"/>
          <w:kern w:val="36"/>
        </w:rPr>
        <w:t>有关机关处理。</w:t>
      </w:r>
    </w:p>
    <w:p>
      <w:pPr>
        <w:pStyle w:val="3"/>
        <w:numPr>
          <w:ilvl w:val="0"/>
          <w:numId w:val="0"/>
        </w:numPr>
        <w:spacing w:beforeLines="0" w:afterLines="0" w:line="560" w:lineRule="exact"/>
        <w:ind w:firstLine="678" w:firstLineChars="212"/>
        <w:rPr>
          <w:rFonts w:cs="Times New Roman"/>
          <w:kern w:val="36"/>
        </w:rPr>
      </w:pPr>
    </w:p>
    <w:p>
      <w:pPr>
        <w:pStyle w:val="2"/>
        <w:spacing w:before="0" w:beforeLines="0" w:afterLines="0" w:line="560" w:lineRule="exact"/>
        <w:rPr>
          <w:rFonts w:cs="Times New Roman"/>
          <w:b w:val="0"/>
          <w:bCs w:val="0"/>
        </w:rPr>
      </w:pPr>
      <w:r>
        <w:rPr>
          <w:rFonts w:hint="default" w:cs="Times New Roman"/>
          <w:b w:val="0"/>
          <w:bCs w:val="0"/>
        </w:rPr>
        <w:t>附则</w:t>
      </w:r>
    </w:p>
    <w:p>
      <w:pPr>
        <w:pStyle w:val="3"/>
        <w:spacing w:beforeLines="0" w:afterLines="0" w:line="560" w:lineRule="exact"/>
        <w:ind w:firstLine="632"/>
        <w:rPr>
          <w:rFonts w:cs="Times New Roman"/>
          <w:kern w:val="36"/>
        </w:rPr>
      </w:pPr>
      <w:r>
        <w:rPr>
          <w:rFonts w:hint="default" w:cs="Times New Roman"/>
          <w:kern w:val="36"/>
        </w:rPr>
        <w:t>各二级单位根据自身实际情况，参照本办法，制定间接费用管理细则，报科学技术处备案后实施。</w:t>
      </w:r>
    </w:p>
    <w:p>
      <w:pPr>
        <w:pStyle w:val="3"/>
        <w:spacing w:afterLines="0" w:line="560" w:lineRule="exact"/>
        <w:ind w:firstLine="632"/>
        <w:rPr>
          <w:rFonts w:cs="Times New Roman"/>
          <w:kern w:val="36"/>
        </w:rPr>
      </w:pPr>
      <w:r>
        <w:rPr>
          <w:rFonts w:hint="default" w:cs="Times New Roman"/>
          <w:kern w:val="36"/>
        </w:rPr>
        <w:t>本办法由科学技术处负责解释。上级主管部门另有规定的，按上级主管部门规定执行。</w:t>
      </w:r>
    </w:p>
    <w:p>
      <w:pPr>
        <w:pStyle w:val="3"/>
        <w:spacing w:afterLines="0" w:line="560" w:lineRule="exact"/>
        <w:ind w:firstLine="632"/>
        <w:rPr>
          <w:rFonts w:cs="Times New Roman"/>
          <w:kern w:val="36"/>
        </w:rPr>
      </w:pPr>
      <w:r>
        <w:rPr>
          <w:rFonts w:hint="default" w:cs="Times New Roman"/>
          <w:kern w:val="36"/>
        </w:rPr>
        <w:t>本办法自公布之日起施行，《厦门大学科技项目间接费用使用管理规定（2019年修订）》（厦大科〔2019〕35号）同时废止。</w:t>
      </w:r>
    </w:p>
    <w:p>
      <w:pPr>
        <w:spacing w:afterLines="0" w:line="560" w:lineRule="exact"/>
        <w:ind w:firstLine="632"/>
        <w:rPr>
          <w:rFonts w:ascii="Times New Roman" w:hAnsi="Times New Roman" w:eastAsia="仿宋" w:cs="Times New Roman"/>
          <w:bCs/>
          <w:color w:val="000000"/>
          <w:kern w:val="36"/>
          <w:sz w:val="32"/>
          <w:szCs w:val="32"/>
        </w:rPr>
      </w:pPr>
    </w:p>
    <w:p>
      <w:pPr>
        <w:spacing w:afterLines="0" w:line="560" w:lineRule="exact"/>
        <w:ind w:firstLine="632"/>
      </w:pPr>
    </w:p>
    <w:bookmarkEnd w:id="1"/>
    <w:p>
      <w:pPr>
        <w:widowControl/>
        <w:adjustRightInd w:val="0"/>
        <w:spacing w:afterLines="0" w:line="560" w:lineRule="exact"/>
        <w:contextualSpacing/>
        <w:rPr>
          <w:rFonts w:hint="default" w:eastAsia="仿宋"/>
          <w:sz w:val="32"/>
          <w:szCs w:val="30"/>
        </w:rPr>
      </w:pPr>
      <w:r>
        <w:rPr>
          <w:rFonts w:hint="default" w:ascii="Times New Roman" w:hAnsi="Times New Roman" w:eastAsia="仿宋"/>
          <w:sz w:val="32"/>
          <w:szCs w:val="30"/>
        </w:rPr>
        <mc:AlternateContent>
          <mc:Choice Requires="wps">
            <w:drawing>
              <wp:anchor distT="0" distB="0" distL="114300" distR="114300" simplePos="0" relativeHeight="251657216"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13"/>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7216;mso-width-relative:page;mso-height-relative:page;" fillcolor="#FFFFFF" filled="t" stroked="f" coordsize="21600,21600" o:gfxdata="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PVN37TU&#10;AAAABQEAAA8AAAAAAAAAAQAgAAAAOAAAAGRycy9kb3ducmV2LnhtbFBLAQIUABQAAAAIAIdO4kAp&#10;SavqDgIAAPADAAAOAAAAAAAAAAEAIAAAADkBAABkcnMvZTJvRG9jLnhtbFBLBQYAAAAABgAGAFkB&#10;AAC5BQAAAAA=&#10;">
                <v:fill on="t" focussize="0,0"/>
                <v:stroke on="f"/>
                <v:imagedata o:title=""/>
                <o:lock v:ext="edit" aspectratio="f"/>
                <v:textbox>
                  <w:txbxContent>
                    <w:tbl>
                      <w:tblPr>
                        <w:tblStyle w:val="13"/>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v:textbox>
                <w10:wrap type="square"/>
              </v:shape>
            </w:pict>
          </mc:Fallback>
        </mc:AlternateContent>
      </w:r>
      <w:bookmarkStart w:id="3" w:name="printdate"/>
      <w:bookmarkEnd w:id="3"/>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Bookman Old Style">
    <w:panose1 w:val="02050604050505090204"/>
    <w:charset w:val="00"/>
    <w:family w:val="roman"/>
    <w:pitch w:val="default"/>
    <w:sig w:usb0="00000287" w:usb1="00000000" w:usb2="00000000" w:usb3="00000000" w:csb0="2000009F" w:csb1="DFD7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1</w:t>
    </w:r>
    <w: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38" w:rightChars="161" w:firstLine="26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B7EEE"/>
    <w:multiLevelType w:val="multilevel"/>
    <w:tmpl w:val="750B7EEE"/>
    <w:lvl w:ilvl="0" w:tentative="0">
      <w:start w:val="1"/>
      <w:numFmt w:val="chineseCountingThousand"/>
      <w:pStyle w:val="2"/>
      <w:lvlText w:val="第%1章"/>
      <w:lvlJc w:val="left"/>
      <w:pPr>
        <w:ind w:left="0" w:firstLine="0"/>
      </w:pPr>
      <w:rPr>
        <w:rFonts w:hint="eastAsia"/>
      </w:rPr>
    </w:lvl>
    <w:lvl w:ilvl="1" w:tentative="0">
      <w:start w:val="1"/>
      <w:numFmt w:val="chineseCountingThousand"/>
      <w:lvlRestart w:val="0"/>
      <w:pStyle w:val="3"/>
      <w:lvlText w:val="第%2条"/>
      <w:lvlJc w:val="left"/>
      <w:pPr>
        <w:ind w:left="2411" w:firstLine="0"/>
      </w:pPr>
      <w:rPr>
        <w:rFonts w:hint="default" w:ascii="Times New Roman" w:hAnsi="Times New Roman" w:eastAsia="仿宋"/>
        <w:b/>
        <w:i w:val="0"/>
        <w:sz w:val="32"/>
      </w:rPr>
    </w:lvl>
    <w:lvl w:ilvl="2" w:tentative="0">
      <w:start w:val="1"/>
      <w:numFmt w:val="chineseCountingThousand"/>
      <w:pStyle w:val="4"/>
      <w:lvlText w:val="（%3）"/>
      <w:lvlJc w:val="left"/>
      <w:pPr>
        <w:ind w:left="0" w:firstLine="0"/>
      </w:pPr>
      <w:rPr>
        <w:rFonts w:hint="eastAsia"/>
      </w:rPr>
    </w:lvl>
    <w:lvl w:ilvl="3" w:tentative="0">
      <w:start w:val="1"/>
      <w:numFmt w:val="decimal"/>
      <w:pStyle w:val="5"/>
      <w:suff w:val="nothing"/>
      <w:lvlText w:val="%4."/>
      <w:lvlJc w:val="left"/>
      <w:pPr>
        <w:ind w:left="0" w:firstLine="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24462839"/>
    <w:rsid w:val="34AF066E"/>
    <w:rsid w:val="37FD5BD9"/>
    <w:rsid w:val="55FF5D40"/>
    <w:rsid w:val="7ABB1419"/>
    <w:rsid w:val="BFFD26AA"/>
    <w:rsid w:val="D9664852"/>
    <w:rsid w:val="DE771AA5"/>
    <w:rsid w:val="EEDF93CB"/>
    <w:rsid w:val="FEF74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22"/>
    <w:qFormat/>
    <w:uiPriority w:val="9"/>
    <w:pPr>
      <w:numPr>
        <w:ilvl w:val="0"/>
        <w:numId w:val="1"/>
      </w:numPr>
      <w:adjustRightInd w:val="0"/>
      <w:snapToGrid w:val="0"/>
      <w:spacing w:beforeLines="100" w:line="579" w:lineRule="exact"/>
      <w:jc w:val="center"/>
      <w:outlineLvl w:val="0"/>
    </w:pPr>
    <w:rPr>
      <w:rFonts w:eastAsia="黑体" w:cstheme="minorBidi"/>
      <w:b/>
      <w:bCs/>
      <w:kern w:val="44"/>
      <w:sz w:val="32"/>
      <w:szCs w:val="44"/>
    </w:rPr>
  </w:style>
  <w:style w:type="paragraph" w:styleId="3">
    <w:name w:val="heading 2"/>
    <w:basedOn w:val="1"/>
    <w:next w:val="1"/>
    <w:link w:val="23"/>
    <w:unhideWhenUsed/>
    <w:qFormat/>
    <w:uiPriority w:val="9"/>
    <w:pPr>
      <w:numPr>
        <w:ilvl w:val="1"/>
        <w:numId w:val="1"/>
      </w:numPr>
      <w:adjustRightInd w:val="0"/>
      <w:snapToGrid w:val="0"/>
      <w:spacing w:line="579" w:lineRule="exact"/>
      <w:ind w:left="0" w:firstLine="200" w:firstLineChars="200"/>
      <w:jc w:val="left"/>
      <w:outlineLvl w:val="1"/>
    </w:pPr>
    <w:rPr>
      <w:rFonts w:eastAsia="仿宋" w:cstheme="majorBidi"/>
      <w:bCs/>
      <w:sz w:val="32"/>
      <w:szCs w:val="32"/>
    </w:rPr>
  </w:style>
  <w:style w:type="paragraph" w:styleId="4">
    <w:name w:val="heading 3"/>
    <w:basedOn w:val="1"/>
    <w:next w:val="1"/>
    <w:link w:val="25"/>
    <w:unhideWhenUsed/>
    <w:qFormat/>
    <w:uiPriority w:val="9"/>
    <w:pPr>
      <w:numPr>
        <w:ilvl w:val="2"/>
        <w:numId w:val="1"/>
      </w:numPr>
      <w:adjustRightInd w:val="0"/>
      <w:snapToGrid w:val="0"/>
      <w:spacing w:line="579" w:lineRule="exact"/>
      <w:ind w:firstLine="200" w:firstLineChars="200"/>
      <w:outlineLvl w:val="2"/>
    </w:pPr>
    <w:rPr>
      <w:rFonts w:eastAsia="仿宋" w:cstheme="minorBidi"/>
      <w:bCs/>
      <w:sz w:val="32"/>
      <w:szCs w:val="32"/>
    </w:rPr>
  </w:style>
  <w:style w:type="paragraph" w:styleId="5">
    <w:name w:val="heading 4"/>
    <w:basedOn w:val="1"/>
    <w:next w:val="1"/>
    <w:link w:val="27"/>
    <w:unhideWhenUsed/>
    <w:qFormat/>
    <w:uiPriority w:val="9"/>
    <w:pPr>
      <w:numPr>
        <w:ilvl w:val="3"/>
        <w:numId w:val="1"/>
      </w:numPr>
      <w:adjustRightInd w:val="0"/>
      <w:snapToGrid w:val="0"/>
      <w:spacing w:line="579" w:lineRule="exact"/>
      <w:ind w:firstLine="200" w:firstLineChars="200"/>
      <w:outlineLvl w:val="3"/>
    </w:pPr>
    <w:rPr>
      <w:rFonts w:eastAsia="仿宋" w:cstheme="majorBidi"/>
      <w:bCs/>
      <w:sz w:val="32"/>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6">
    <w:name w:val="Document Map"/>
    <w:basedOn w:val="1"/>
    <w:link w:val="33"/>
    <w:semiHidden/>
    <w:unhideWhenUsed/>
    <w:qFormat/>
    <w:uiPriority w:val="99"/>
    <w:pPr>
      <w:adjustRightInd w:val="0"/>
      <w:snapToGrid w:val="0"/>
      <w:spacing w:line="579" w:lineRule="exact"/>
      <w:ind w:firstLine="200" w:firstLineChars="200"/>
    </w:pPr>
    <w:rPr>
      <w:rFonts w:ascii="宋体" w:cstheme="minorBidi"/>
      <w:sz w:val="18"/>
      <w:szCs w:val="18"/>
    </w:rPr>
  </w:style>
  <w:style w:type="paragraph" w:styleId="7">
    <w:name w:val="annotation text"/>
    <w:basedOn w:val="1"/>
    <w:link w:val="35"/>
    <w:semiHidden/>
    <w:unhideWhenUsed/>
    <w:qFormat/>
    <w:uiPriority w:val="99"/>
    <w:pPr>
      <w:jc w:val="left"/>
    </w:pPr>
  </w:style>
  <w:style w:type="paragraph" w:styleId="8">
    <w:name w:val="Date"/>
    <w:basedOn w:val="1"/>
    <w:next w:val="1"/>
    <w:link w:val="37"/>
    <w:semiHidden/>
    <w:unhideWhenUsed/>
    <w:qFormat/>
    <w:uiPriority w:val="99"/>
    <w:pPr>
      <w:ind w:left="100" w:leftChars="2500"/>
    </w:pPr>
  </w:style>
  <w:style w:type="paragraph" w:styleId="9">
    <w:name w:val="Balloon Text"/>
    <w:basedOn w:val="1"/>
    <w:link w:val="19"/>
    <w:semiHidden/>
    <w:unhideWhenUsed/>
    <w:qFormat/>
    <w:uiPriority w:val="99"/>
    <w:rPr>
      <w:sz w:val="18"/>
      <w:szCs w:val="18"/>
    </w:rPr>
  </w:style>
  <w:style w:type="paragraph" w:styleId="10">
    <w:name w:val="footer"/>
    <w:basedOn w:val="1"/>
    <w:link w:val="28"/>
    <w:unhideWhenUsed/>
    <w:qFormat/>
    <w:uiPriority w:val="99"/>
    <w:pPr>
      <w:tabs>
        <w:tab w:val="center" w:pos="4153"/>
        <w:tab w:val="right" w:pos="8306"/>
      </w:tabs>
      <w:snapToGrid w:val="0"/>
      <w:jc w:val="left"/>
    </w:pPr>
    <w:rPr>
      <w:kern w:val="0"/>
      <w:sz w:val="18"/>
      <w:szCs w:val="18"/>
      <w:lang w:val="zh-CN" w:eastAsia="zh-CN"/>
    </w:rPr>
  </w:style>
  <w:style w:type="paragraph" w:styleId="11">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annotation subject"/>
    <w:basedOn w:val="7"/>
    <w:next w:val="7"/>
    <w:link w:val="36"/>
    <w:semiHidden/>
    <w:unhideWhenUsed/>
    <w:qFormat/>
    <w:uiPriority w:val="99"/>
    <w:rPr>
      <w:b/>
      <w:bCs/>
    </w:r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page number"/>
    <w:semiHidden/>
    <w:unhideWhenUsed/>
    <w:uiPriority w:val="99"/>
  </w:style>
  <w:style w:type="character" w:styleId="17">
    <w:name w:val="annotation reference"/>
    <w:basedOn w:val="15"/>
    <w:semiHidden/>
    <w:unhideWhenUsed/>
    <w:qFormat/>
    <w:uiPriority w:val="99"/>
    <w:rPr>
      <w:rFonts w:asciiTheme="minorHAnsi" w:hAnsiTheme="minorHAnsi" w:eastAsiaTheme="minorEastAsia" w:cstheme="minorBidi"/>
      <w:sz w:val="21"/>
      <w:szCs w:val="21"/>
    </w:rPr>
  </w:style>
  <w:style w:type="character" w:customStyle="1" w:styleId="18">
    <w:name w:val="页脚 Char"/>
    <w:link w:val="10"/>
    <w:uiPriority w:val="99"/>
    <w:rPr>
      <w:rFonts w:ascii="Times New Roman" w:hAnsi="Times New Roman" w:eastAsia="宋体" w:cs="Times New Roman"/>
      <w:kern w:val="0"/>
      <w:sz w:val="18"/>
      <w:szCs w:val="18"/>
      <w:lang w:val="zh-CN" w:eastAsia="zh-CN"/>
    </w:rPr>
  </w:style>
  <w:style w:type="character" w:customStyle="1" w:styleId="19">
    <w:name w:val="批注框文本 字符"/>
    <w:basedOn w:val="15"/>
    <w:link w:val="9"/>
    <w:semiHidden/>
    <w:uiPriority w:val="99"/>
    <w:rPr>
      <w:rFonts w:ascii="Times New Roman" w:hAnsi="Times New Roman"/>
      <w:kern w:val="2"/>
      <w:sz w:val="18"/>
      <w:szCs w:val="18"/>
    </w:rPr>
  </w:style>
  <w:style w:type="table" w:customStyle="1" w:styleId="20">
    <w:name w:val="Grid Table 1 Light"/>
    <w:basedOn w:val="13"/>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21">
    <w:name w:val="页眉 字符"/>
    <w:basedOn w:val="15"/>
    <w:link w:val="11"/>
    <w:uiPriority w:val="99"/>
    <w:rPr>
      <w:rFonts w:ascii="Times New Roman" w:hAnsi="Times New Roman"/>
      <w:kern w:val="2"/>
      <w:sz w:val="18"/>
      <w:szCs w:val="18"/>
    </w:rPr>
  </w:style>
  <w:style w:type="character" w:customStyle="1" w:styleId="22">
    <w:name w:val="标题 1 字符"/>
    <w:basedOn w:val="15"/>
    <w:link w:val="2"/>
    <w:qFormat/>
    <w:uiPriority w:val="9"/>
    <w:rPr>
      <w:rFonts w:eastAsia="黑体" w:asciiTheme="minorHAnsi" w:hAnsiTheme="minorHAnsi" w:cstheme="minorBidi"/>
      <w:b/>
      <w:bCs/>
      <w:kern w:val="44"/>
      <w:sz w:val="32"/>
      <w:szCs w:val="44"/>
    </w:rPr>
  </w:style>
  <w:style w:type="character" w:customStyle="1" w:styleId="23">
    <w:name w:val="标题 2 字符"/>
    <w:basedOn w:val="15"/>
    <w:link w:val="3"/>
    <w:qFormat/>
    <w:uiPriority w:val="9"/>
    <w:rPr>
      <w:rFonts w:eastAsia="仿宋" w:asciiTheme="minorHAnsi" w:hAnsiTheme="minorHAnsi" w:cstheme="majorBidi"/>
      <w:bCs/>
      <w:sz w:val="32"/>
      <w:szCs w:val="32"/>
    </w:rPr>
  </w:style>
  <w:style w:type="paragraph" w:customStyle="1" w:styleId="24">
    <w:name w:val="00公文标题"/>
    <w:basedOn w:val="1"/>
    <w:link w:val="26"/>
    <w:qFormat/>
    <w:uiPriority w:val="0"/>
    <w:pPr>
      <w:adjustRightInd w:val="0"/>
      <w:snapToGrid w:val="0"/>
      <w:spacing w:afterLines="100" w:line="579" w:lineRule="exact"/>
      <w:jc w:val="center"/>
      <w:outlineLvl w:val="0"/>
    </w:pPr>
    <w:rPr>
      <w:rFonts w:eastAsia="方正小标宋简体" w:cstheme="minorBidi"/>
      <w:sz w:val="44"/>
      <w:szCs w:val="22"/>
    </w:rPr>
  </w:style>
  <w:style w:type="character" w:customStyle="1" w:styleId="25">
    <w:name w:val="标题 3 字符"/>
    <w:basedOn w:val="15"/>
    <w:link w:val="4"/>
    <w:qFormat/>
    <w:uiPriority w:val="9"/>
    <w:rPr>
      <w:rFonts w:eastAsia="仿宋" w:asciiTheme="minorHAnsi" w:hAnsiTheme="minorHAnsi" w:cstheme="minorBidi"/>
      <w:bCs/>
      <w:sz w:val="32"/>
      <w:szCs w:val="32"/>
    </w:rPr>
  </w:style>
  <w:style w:type="character" w:customStyle="1" w:styleId="26">
    <w:name w:val="00公文标题 字符"/>
    <w:basedOn w:val="15"/>
    <w:link w:val="24"/>
    <w:qFormat/>
    <w:uiPriority w:val="0"/>
    <w:rPr>
      <w:rFonts w:eastAsia="方正小标宋简体" w:asciiTheme="minorHAnsi" w:hAnsiTheme="minorHAnsi" w:cstheme="minorBidi"/>
      <w:sz w:val="44"/>
      <w:szCs w:val="22"/>
    </w:rPr>
  </w:style>
  <w:style w:type="character" w:customStyle="1" w:styleId="27">
    <w:name w:val="标题 4 字符"/>
    <w:basedOn w:val="15"/>
    <w:link w:val="5"/>
    <w:qFormat/>
    <w:uiPriority w:val="9"/>
    <w:rPr>
      <w:rFonts w:eastAsia="仿宋" w:asciiTheme="minorHAnsi" w:hAnsiTheme="minorHAnsi" w:cstheme="majorBidi"/>
      <w:bCs/>
      <w:sz w:val="32"/>
      <w:szCs w:val="28"/>
    </w:rPr>
  </w:style>
  <w:style w:type="character" w:customStyle="1" w:styleId="28">
    <w:name w:val="页脚 字符"/>
    <w:basedOn w:val="15"/>
    <w:link w:val="10"/>
    <w:qFormat/>
    <w:uiPriority w:val="99"/>
    <w:rPr>
      <w:rFonts w:ascii="Times New Roman" w:hAnsi="Times New Roman" w:eastAsia="仿宋" w:cstheme="minorBidi"/>
      <w:sz w:val="18"/>
      <w:szCs w:val="18"/>
    </w:rPr>
  </w:style>
  <w:style w:type="paragraph" w:customStyle="1" w:styleId="29">
    <w:name w:val="12页码奇数页"/>
    <w:basedOn w:val="10"/>
    <w:link w:val="31"/>
    <w:qFormat/>
    <w:uiPriority w:val="0"/>
    <w:pPr>
      <w:adjustRightInd w:val="0"/>
      <w:spacing w:line="240" w:lineRule="atLeast"/>
      <w:ind w:right="100" w:rightChars="100" w:firstLine="0" w:firstLineChars="0"/>
      <w:jc w:val="right"/>
    </w:pPr>
    <w:rPr>
      <w:rFonts w:ascii="宋体" w:hAnsi="宋体" w:eastAsia="宋体" w:cstheme="minorBidi"/>
      <w:kern w:val="2"/>
      <w:sz w:val="28"/>
      <w:szCs w:val="28"/>
      <w:lang w:val="en-US"/>
    </w:rPr>
  </w:style>
  <w:style w:type="paragraph" w:customStyle="1" w:styleId="30">
    <w:name w:val="12页码偶数页"/>
    <w:basedOn w:val="10"/>
    <w:link w:val="32"/>
    <w:qFormat/>
    <w:uiPriority w:val="0"/>
    <w:pPr>
      <w:adjustRightInd w:val="0"/>
      <w:spacing w:line="240" w:lineRule="atLeast"/>
      <w:ind w:left="100" w:leftChars="100" w:firstLine="0" w:firstLineChars="0"/>
    </w:pPr>
    <w:rPr>
      <w:rFonts w:ascii="宋体" w:hAnsi="宋体" w:eastAsia="宋体" w:cstheme="minorBidi"/>
      <w:kern w:val="2"/>
      <w:sz w:val="28"/>
      <w:szCs w:val="28"/>
      <w:lang w:val="en-US"/>
    </w:rPr>
  </w:style>
  <w:style w:type="character" w:customStyle="1" w:styleId="31">
    <w:name w:val="12页码奇数页 字符"/>
    <w:basedOn w:val="28"/>
    <w:link w:val="29"/>
    <w:qFormat/>
    <w:uiPriority w:val="0"/>
    <w:rPr>
      <w:rFonts w:ascii="宋体" w:hAnsi="宋体" w:eastAsia="宋体"/>
      <w:sz w:val="28"/>
      <w:szCs w:val="28"/>
    </w:rPr>
  </w:style>
  <w:style w:type="character" w:customStyle="1" w:styleId="32">
    <w:name w:val="12页码偶数页 字符"/>
    <w:basedOn w:val="28"/>
    <w:link w:val="30"/>
    <w:qFormat/>
    <w:uiPriority w:val="0"/>
    <w:rPr>
      <w:rFonts w:ascii="宋体" w:hAnsi="宋体" w:eastAsia="宋体"/>
      <w:sz w:val="28"/>
      <w:szCs w:val="28"/>
    </w:rPr>
  </w:style>
  <w:style w:type="character" w:customStyle="1" w:styleId="33">
    <w:name w:val="文档结构图 字符"/>
    <w:basedOn w:val="15"/>
    <w:link w:val="6"/>
    <w:semiHidden/>
    <w:qFormat/>
    <w:uiPriority w:val="99"/>
    <w:rPr>
      <w:rFonts w:ascii="宋体" w:hAnsiTheme="minorHAnsi" w:eastAsiaTheme="minorEastAsia" w:cstheme="minorBidi"/>
      <w:sz w:val="18"/>
      <w:szCs w:val="18"/>
    </w:rPr>
  </w:style>
  <w:style w:type="paragraph" w:styleId="34">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35">
    <w:name w:val="批注文字 字符"/>
    <w:basedOn w:val="15"/>
    <w:link w:val="7"/>
    <w:semiHidden/>
    <w:qFormat/>
    <w:uiPriority w:val="99"/>
    <w:rPr>
      <w:rFonts w:asciiTheme="minorHAnsi" w:hAnsiTheme="minorHAnsi" w:eastAsiaTheme="minorEastAsia" w:cstheme="minorBidi"/>
    </w:rPr>
  </w:style>
  <w:style w:type="character" w:customStyle="1" w:styleId="36">
    <w:name w:val="批注主题 字符"/>
    <w:basedOn w:val="35"/>
    <w:link w:val="12"/>
    <w:semiHidden/>
    <w:qFormat/>
    <w:uiPriority w:val="99"/>
    <w:rPr>
      <w:b/>
      <w:bCs/>
    </w:rPr>
  </w:style>
  <w:style w:type="character" w:customStyle="1" w:styleId="37">
    <w:name w:val="日期 字符"/>
    <w:basedOn w:val="15"/>
    <w:link w:val="8"/>
    <w:semiHidden/>
    <w:qFormat/>
    <w:uiPriority w:val="99"/>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6</Pages>
  <Words>2145</Words>
  <Characters>2244</Characters>
  <Lines>16</Lines>
  <Paragraphs>4</Paragraphs>
  <TotalTime>4</TotalTime>
  <ScaleCrop>false</ScaleCrop>
  <LinksUpToDate>false</LinksUpToDate>
  <CharactersWithSpaces>2319</CharactersWithSpaces>
  <Application>WWO_wpscloud_20211124172602-ea798320c4</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2022-06-28T10:07:00Z</dcterms:created>
  <dc:creator>庄燕燕</dc:creator>
  <cp:lastModifiedBy>root</cp:lastModifiedBy>
  <cp:lastPrinted>2022-08-09T01:56:00Z</cp:lastPrinted>
  <dcterms:modified xsi:type="dcterms:W3CDTF">2022-08-11T15:23:04Z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3BC91F2042C04EBF86047A99BC6B9084</vt:lpwstr>
  </property>
</Properties>
</file>